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1440"/>
        <w:rPr>
          <w:rFonts w:ascii="Franklin Gothic Demi" w:hAnsi="Franklin Gothic Demi"/>
          <w:color w:val="333333"/>
          <w:sz w:val="12"/>
          <w:szCs w:val="12"/>
          <w:lang w:val="fr-FR"/>
        </w:rPr>
      </w:pPr>
      <w:r>
        <w:rPr>
          <w:rFonts w:ascii="Franklin Gothic Medium" w:hAnsi="Franklin Gothic Medium" w:cs="Arial"/>
          <w:iCs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-373380</wp:posOffset>
                </wp:positionV>
                <wp:extent cx="1120140" cy="797560"/>
                <wp:effectExtent l="5080" t="5080" r="17780" b="16510"/>
                <wp:wrapNone/>
                <wp:docPr id="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140" cy="79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Sigla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D.G.R.F.P. / D.G.A.M.C.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1" o:spid="_x0000_s1026" o:spt="1" style="position:absolute;left:0pt;margin-left:-54pt;margin-top:-29.4pt;height:62.8pt;width:88.2pt;z-index:-251657216;mso-width-relative:page;mso-height-relative:page;" fillcolor="#FFFFFF" filled="t" stroked="t" coordsize="21600,21600" o:gfxdata="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OhbAO2AAAAAoBAAAP&#10;AAAAAAAAAAEAIAAAACIAAABkcnMvZG93bnJldi54bWxQSwECFAAUAAAACACHTuJAch4x498BAADf&#10;AwAADgAAAAAAAAABACAAAAAn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Sigla</w:t>
                      </w:r>
                    </w:p>
                    <w:p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D.G.R.F.P. / D.G.A.M.C.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w:rPr>
          <w:rFonts w:cs="Arial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-455930</wp:posOffset>
                </wp:positionV>
                <wp:extent cx="5074920" cy="1964690"/>
                <wp:effectExtent l="0" t="0" r="11430" b="16510"/>
                <wp:wrapNone/>
                <wp:docPr id="2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4920" cy="196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Franklin Gothic Medium" w:hAnsi="Franklin Gothic Medium" w:cs="Arial"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b w:val="0"/>
                                <w:color w:val="333333"/>
                                <w:sz w:val="32"/>
                                <w:szCs w:val="32"/>
                                <w:lang w:val="fr-FR"/>
                              </w:rPr>
                              <w:t xml:space="preserve">MINISTERUL FINANŢELOR 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spacing w:val="20"/>
                                <w:sz w:val="28"/>
                                <w:szCs w:val="28"/>
                              </w:rPr>
                              <w:t>Agenţia Naţională de Administrare Fiscală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>Direcţia Generală Regională a Finanţelor Publice ...............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  <w:t>Direcţia Generală de Administrare a Marilor Contribuabili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  <w:t>Administrația Fiscală pentru Contribuabilii Mijlocii a Municipiului București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  <w:t>Administrația Județeană a Finanțelor Publice ............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  <w:t xml:space="preserve">Administrația Sectorului ... a Finanțelor Publice 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  <w:lang w:val="ro-RO"/>
                              </w:rPr>
                              <w:t>Unitatea Fiscală ..........</w:t>
                            </w:r>
                          </w:p>
                          <w:p>
                            <w:pPr>
                              <w:rPr>
                                <w:rFonts w:ascii="Franklin Gothic Medium" w:hAnsi="Franklin Gothic Medium" w:cs="Arial"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Franklin Gothic Medium" w:hAnsi="Franklin Gothic Medium" w:cs="Arial"/>
                                <w:iCs/>
                              </w:rPr>
                              <w:t>Nr. ................ /.........................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38.55pt;margin-top:-35.9pt;height:154.7pt;width:399.6pt;z-index:251660288;mso-width-relative:page;mso-height-relative:page;" fillcolor="#FFFFFF" filled="t" stroked="f" coordsize="21600,21600" o:gfxdata="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8H7X/YAAAACgEAAA8AAAAAAAAA&#10;AQAgAAAAIgAAAGRycy9kb3ducmV2LnhtbFBLAQIUABQAAAAIAIdO4kAzPsNgnwEAADIDAAAOAAAA&#10;AAAAAAEAIAAAACcBAABkcnMvZTJvRG9jLnhtbFBLBQYAAAAABgAGAFkBAAA4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rFonts w:ascii="Franklin Gothic Medium" w:hAnsi="Franklin Gothic Medium" w:cs="Arial"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Demi" w:hAnsi="Franklin Gothic Demi"/>
                          <w:b w:val="0"/>
                          <w:color w:val="333333"/>
                          <w:sz w:val="32"/>
                          <w:szCs w:val="32"/>
                          <w:lang w:val="fr-FR"/>
                        </w:rPr>
                        <w:t xml:space="preserve">MINISTERUL FINANŢELOR 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Medium" w:hAnsi="Franklin Gothic Medium" w:cs="Arial"/>
                          <w:spacing w:val="20"/>
                          <w:sz w:val="28"/>
                          <w:szCs w:val="28"/>
                        </w:rPr>
                        <w:t>Agenţia Naţională de Administrare Fiscală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>Direcţia Generală Regională a Finanţelor Publice ...............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  <w:t>Direcţia Generală de Administrare a Marilor Contribuabili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  <w:t>Administrația Fiscală pentru Contribuabilii Mijlocii a Municipiului București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  <w:t>Administrația Județeană a Finanțelor Publice ............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  <w:t xml:space="preserve">Administrația Sectorului ... a Finanțelor Publice 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  <w:color w:val="000000"/>
                          <w:lang w:val="ro-RO"/>
                        </w:rPr>
                        <w:t>Unitatea Fiscală ..........</w:t>
                      </w:r>
                    </w:p>
                    <w:p>
                      <w:pPr>
                        <w:rPr>
                          <w:rFonts w:ascii="Franklin Gothic Medium" w:hAnsi="Franklin Gothic Medium" w:cs="Arial"/>
                          <w:iCs/>
                          <w:color w:val="000000"/>
                        </w:rPr>
                      </w:pPr>
                      <w:r>
                        <w:rPr>
                          <w:rFonts w:ascii="Franklin Gothic Medium" w:hAnsi="Franklin Gothic Medium" w:cs="Arial"/>
                          <w:iCs/>
                        </w:rPr>
                        <w:t>Nr. ................ /.........................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5463540</wp:posOffset>
                </wp:positionH>
                <wp:positionV relativeFrom="paragraph">
                  <wp:posOffset>-248920</wp:posOffset>
                </wp:positionV>
                <wp:extent cx="1114425" cy="1099820"/>
                <wp:effectExtent l="0" t="0" r="9525" b="5080"/>
                <wp:wrapNone/>
                <wp:docPr id="3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1099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Adresa: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......................................................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Tel : 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..................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fr-FR"/>
                              </w:rPr>
                              <w:t>Fax 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 xml:space="preserve"> .................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fr-FR"/>
                              </w:rPr>
                              <w:t>-mail 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 xml:space="preserve"> .............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5" o:spid="_x0000_s1026" o:spt="202" type="#_x0000_t202" style="position:absolute;left:0pt;margin-left:430.2pt;margin-top:-19.6pt;height:86.6pt;width:87.75pt;z-index:251661312;mso-width-relative:page;mso-height-relative:page;" fillcolor="#FFFFFF" filled="t" stroked="f" coordsize="21600,21600" o:gfxdata="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eQ4fdkAAAAMAQAADwAAAAAA&#10;AAABACAAAAAiAAAAZHJzL2Rvd25yZXYueG1sUEsBAhQAFAAAAAgAh07iQLoeqLOgAQAAMwMAAA4A&#10;AAAAAAAAAQAgAAAAKAEAAGRycy9lMm9Eb2MueG1sUEsFBgAAAAAGAAYAWQEAADo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Adresa: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......................................................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Tel : </w:t>
                      </w: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..................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fr-FR"/>
                        </w:rPr>
                        <w:t>Fax :</w:t>
                      </w: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 xml:space="preserve"> .................</w:t>
                      </w: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</w:t>
                      </w: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fr-FR"/>
                        </w:rPr>
                        <w:t>-mail :</w:t>
                      </w: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 xml:space="preserve"> .............</w:t>
                      </w: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Franklin Gothic Demi" w:hAnsi="Franklin Gothic Demi"/>
          <w:color w:val="333333"/>
          <w:lang w:val="fr-FR"/>
        </w:rPr>
        <w:t xml:space="preserve">    </w:t>
      </w:r>
      <w:r>
        <w:rPr>
          <w:rFonts w:ascii="Franklin Gothic Demi" w:hAnsi="Franklin Gothic Demi"/>
          <w:color w:val="333333"/>
          <w:sz w:val="12"/>
          <w:szCs w:val="12"/>
          <w:lang w:val="fr-FR"/>
        </w:rPr>
        <w:t xml:space="preserve">  </w:t>
      </w:r>
    </w:p>
    <w:p>
      <w:pPr>
        <w:autoSpaceDE w:val="0"/>
        <w:autoSpaceDN w:val="0"/>
        <w:adjustRightInd w:val="0"/>
        <w:jc w:val="both"/>
        <w:rPr>
          <w:rFonts w:ascii="Franklin Gothic Medium" w:hAnsi="Franklin Gothic Medium" w:cs="Arial"/>
          <w:iCs/>
          <w:lang w:val="pt-BR"/>
        </w:rPr>
      </w:pPr>
      <w:r>
        <w:rPr>
          <w:rFonts w:ascii="Franklin Gothic Medium" w:hAnsi="Franklin Gothic Medium" w:cs="Arial"/>
          <w:iCs/>
          <w:color w:val="000000"/>
          <w:lang w:val="pt-BR"/>
        </w:rPr>
        <w:t xml:space="preserve">                 </w:t>
      </w:r>
    </w:p>
    <w:p>
      <w:pPr>
        <w:autoSpaceDE w:val="0"/>
        <w:autoSpaceDN w:val="0"/>
        <w:adjustRightInd w:val="0"/>
        <w:jc w:val="center"/>
        <w:rPr>
          <w:iCs/>
          <w:lang w:val="pt-BR"/>
        </w:rPr>
      </w:pPr>
    </w:p>
    <w:p>
      <w:pPr>
        <w:autoSpaceDE w:val="0"/>
        <w:autoSpaceDN w:val="0"/>
        <w:adjustRightInd w:val="0"/>
        <w:jc w:val="center"/>
        <w:rPr>
          <w:iCs/>
          <w:lang w:val="pt-BR"/>
        </w:rPr>
      </w:pPr>
    </w:p>
    <w:p>
      <w:pPr>
        <w:autoSpaceDE w:val="0"/>
        <w:autoSpaceDN w:val="0"/>
        <w:adjustRightInd w:val="0"/>
        <w:jc w:val="center"/>
        <w:rPr>
          <w:iCs/>
          <w:lang w:val="pt-BR"/>
        </w:rPr>
      </w:pPr>
    </w:p>
    <w:p>
      <w:pPr>
        <w:autoSpaceDE w:val="0"/>
        <w:autoSpaceDN w:val="0"/>
        <w:adjustRightInd w:val="0"/>
        <w:jc w:val="center"/>
        <w:rPr>
          <w:iCs/>
          <w:lang w:val="pt-BR"/>
        </w:rPr>
      </w:pPr>
    </w:p>
    <w:p>
      <w:pPr>
        <w:jc w:val="center"/>
        <w:rPr>
          <w:b/>
          <w:lang w:val="it-IT"/>
        </w:rPr>
      </w:pPr>
    </w:p>
    <w:p>
      <w:pPr>
        <w:jc w:val="center"/>
        <w:rPr>
          <w:b/>
          <w:lang w:val="it-IT"/>
        </w:rPr>
      </w:pPr>
    </w:p>
    <w:p>
      <w:pPr>
        <w:jc w:val="center"/>
        <w:rPr>
          <w:b/>
          <w:lang w:val="it-IT"/>
        </w:rPr>
      </w:pPr>
    </w:p>
    <w:p>
      <w:pPr>
        <w:jc w:val="both"/>
        <w:rPr>
          <w:b/>
          <w:lang w:val="it-IT"/>
        </w:rPr>
      </w:pPr>
    </w:p>
    <w:p>
      <w:pPr>
        <w:jc w:val="center"/>
        <w:rPr>
          <w:rFonts w:hint="default"/>
          <w:b/>
          <w:lang w:val="ro-RO"/>
        </w:rPr>
      </w:pPr>
      <w:r>
        <w:rPr>
          <w:b/>
          <w:lang w:val="it-IT"/>
        </w:rPr>
        <w:t>DECIZIE DE DECLARARE ÎN INACTIVITATE</w:t>
      </w:r>
      <w:r>
        <w:rPr>
          <w:rFonts w:hint="default"/>
          <w:b/>
          <w:lang w:val="ro-RO"/>
        </w:rPr>
        <w:t xml:space="preserve"> FISCALĂ</w:t>
      </w:r>
    </w:p>
    <w:p>
      <w:pPr>
        <w:jc w:val="center"/>
        <w:rPr>
          <w:b/>
          <w:lang w:val="it-IT"/>
        </w:rPr>
      </w:pPr>
    </w:p>
    <w:p>
      <w:pPr>
        <w:pStyle w:val="27"/>
        <w:jc w:val="both"/>
        <w:rPr>
          <w:b/>
          <w:lang w:val="ro-RO"/>
        </w:rPr>
      </w:pPr>
    </w:p>
    <w:p>
      <w:pPr>
        <w:pStyle w:val="27"/>
        <w:jc w:val="both"/>
        <w:rPr>
          <w:lang w:val="ro-RO"/>
        </w:rPr>
      </w:pPr>
      <w:r>
        <w:rPr>
          <w:lang w:val="ro-RO"/>
        </w:rPr>
        <w:t>Către:</w:t>
      </w:r>
      <w:r>
        <w:rPr>
          <w:lang w:val="ro-RO"/>
        </w:rPr>
        <w:tab/>
      </w:r>
      <w:r>
        <w:rPr>
          <w:lang w:val="ro-RO"/>
        </w:rPr>
        <w:t>Denumire .....................................................................................................................................</w:t>
      </w:r>
    </w:p>
    <w:p>
      <w:pPr>
        <w:pStyle w:val="27"/>
        <w:ind w:firstLine="709"/>
        <w:jc w:val="both"/>
        <w:rPr>
          <w:lang w:val="ro-RO"/>
        </w:rPr>
      </w:pPr>
      <w:r>
        <w:rPr>
          <w:lang w:val="ro-RO"/>
        </w:rPr>
        <w:t>Domiciliul fiscal: localitate .............................., str. .................................. nr. ..........., bl. .......,</w:t>
      </w:r>
    </w:p>
    <w:p>
      <w:pPr>
        <w:pStyle w:val="27"/>
        <w:ind w:firstLine="709"/>
        <w:jc w:val="both"/>
        <w:rPr>
          <w:lang w:val="ro-RO"/>
        </w:rPr>
      </w:pPr>
      <w:r>
        <w:rPr>
          <w:lang w:val="ro-RO"/>
        </w:rPr>
        <w:t>ap ......, et. ........., judeţ/sector ..........................................................</w:t>
      </w:r>
    </w:p>
    <w:p>
      <w:pPr>
        <w:pStyle w:val="27"/>
        <w:ind w:firstLine="709"/>
        <w:jc w:val="both"/>
      </w:pPr>
      <w:r>
        <w:t>Cod de identificare fiscală .........................................</w:t>
      </w:r>
    </w:p>
    <w:p/>
    <w:p>
      <w:pPr>
        <w:pStyle w:val="27"/>
        <w:ind w:firstLine="709"/>
        <w:jc w:val="both"/>
        <w:rPr>
          <w:color w:val="000000"/>
        </w:rPr>
      </w:pPr>
      <w:r>
        <w:rPr>
          <w:lang w:val="ro-RO"/>
        </w:rPr>
        <w:t>Având în vedere dispoziţiile</w:t>
      </w:r>
      <w:r>
        <w:t xml:space="preserve"> art.</w:t>
      </w:r>
      <w:r>
        <w:rPr>
          <w:lang w:val="es-ES"/>
        </w:rPr>
        <w:t xml:space="preserve"> 92 </w:t>
      </w:r>
      <w:r>
        <w:t>alin.</w:t>
      </w:r>
      <w:r>
        <w:rPr>
          <w:lang w:val="ro-RO"/>
        </w:rPr>
        <w:t xml:space="preserve"> </w:t>
      </w:r>
      <w:r>
        <w:t>(1) lit.</w:t>
      </w:r>
      <w:r>
        <w:rPr>
          <w:lang w:val="ro-RO"/>
        </w:rPr>
        <w:t xml:space="preserve"> </w:t>
      </w:r>
      <w:r>
        <w:t xml:space="preserve">a) - g) </w:t>
      </w:r>
      <w:r>
        <w:rPr>
          <w:lang w:val="ro-RO"/>
        </w:rPr>
        <w:t xml:space="preserve">și/sau alin. </w:t>
      </w:r>
      <w:r>
        <w:rPr>
          <w:rFonts w:hint="default" w:ascii="Times New Roman" w:hAnsi="Times New Roman" w:eastAsia="Times New Roman CE" w:cs="Times New Roman"/>
          <w:b w:val="0"/>
          <w:bCs/>
          <w:i w:val="0"/>
          <w:iCs/>
          <w:color w:val="auto"/>
          <w:sz w:val="24"/>
          <w:szCs w:val="24"/>
          <w:u w:val="none"/>
          <w:lang w:val="ro-RO"/>
        </w:rPr>
        <w:t>(1^2)</w:t>
      </w:r>
      <w:r>
        <w:rPr>
          <w:vertAlign w:val="superscript"/>
          <w:lang w:val="ro-RO"/>
        </w:rPr>
        <w:t xml:space="preserve"> </w:t>
      </w:r>
      <w:r>
        <w:rPr>
          <w:vertAlign w:val="baseline"/>
          <w:lang w:val="ro-RO"/>
        </w:rPr>
        <w:t xml:space="preserve">lit. a) - b) </w:t>
      </w:r>
      <w:r>
        <w:t xml:space="preserve">din Legea </w:t>
      </w:r>
      <w:r>
        <w:rPr>
          <w:lang w:val="ro-RO"/>
        </w:rPr>
        <w:t xml:space="preserve">               </w:t>
      </w:r>
      <w:r>
        <w:t>nr. 207/2015 privind Codul de procedură fiscală, cu modificările și completările ulterioare (</w:t>
      </w:r>
      <w:r>
        <w:rPr>
          <w:i w:val="0"/>
          <w:iCs w:val="0"/>
        </w:rPr>
        <w:t>Codul de procedură fiscală</w:t>
      </w:r>
      <w:r>
        <w:t xml:space="preserve">), </w:t>
      </w:r>
      <w:r>
        <w:rPr>
          <w:color w:val="000000"/>
        </w:rPr>
        <w:t>vă aducem la cunoştinţă că, începând cu data comunicării prezentei deci</w:t>
      </w:r>
      <w:r>
        <w:rPr>
          <w:color w:val="000000"/>
          <w:lang w:val="ro-RO"/>
        </w:rPr>
        <w:t>zii</w:t>
      </w:r>
      <w:r>
        <w:rPr>
          <w:color w:val="000000"/>
        </w:rPr>
        <w:t>, sunteţi declarat inactiv</w:t>
      </w:r>
      <w:r>
        <w:rPr>
          <w:color w:val="000000"/>
          <w:lang w:val="ro-RO"/>
        </w:rPr>
        <w:t xml:space="preserve"> fiscal</w:t>
      </w:r>
      <w:r>
        <w:rPr>
          <w:color w:val="000000"/>
        </w:rPr>
        <w:t>.</w:t>
      </w:r>
    </w:p>
    <w:p>
      <w:pPr>
        <w:pStyle w:val="27"/>
        <w:ind w:firstLine="709"/>
        <w:jc w:val="both"/>
        <w:rPr>
          <w:rFonts w:hint="default"/>
          <w:color w:val="000000"/>
          <w:lang w:val="ro-RO"/>
        </w:rPr>
      </w:pPr>
      <w:r>
        <w:rPr>
          <w:rFonts w:hint="default"/>
          <w:color w:val="000000"/>
          <w:lang w:val="ro-RO"/>
        </w:rPr>
        <w:t>Temeiul de drept: art. 92 alin. (1) lit.... /</w:t>
      </w:r>
      <w:r>
        <w:rPr>
          <w:lang w:val="ro-RO"/>
        </w:rPr>
        <w:t xml:space="preserve">alin. </w:t>
      </w:r>
      <w:r>
        <w:rPr>
          <w:rFonts w:hint="default" w:ascii="Times New Roman" w:hAnsi="Times New Roman" w:eastAsia="Times New Roman CE" w:cs="Times New Roman"/>
          <w:b w:val="0"/>
          <w:bCs w:val="0"/>
          <w:i w:val="0"/>
          <w:iCs/>
          <w:color w:val="auto"/>
          <w:sz w:val="24"/>
          <w:szCs w:val="24"/>
          <w:u w:val="none"/>
          <w:lang w:val="ro-RO"/>
        </w:rPr>
        <w:t>(1^2)</w:t>
      </w:r>
      <w:r>
        <w:rPr>
          <w:vertAlign w:val="baseline"/>
          <w:lang w:val="ro-RO"/>
        </w:rPr>
        <w:t xml:space="preserve"> lit..... </w:t>
      </w:r>
      <w:r>
        <w:rPr>
          <w:rFonts w:hint="default"/>
          <w:color w:val="000000"/>
          <w:lang w:val="ro-RO"/>
        </w:rPr>
        <w:t>din Codul de procedură fiscală.</w:t>
      </w:r>
    </w:p>
    <w:p>
      <w:pPr>
        <w:pStyle w:val="27"/>
        <w:ind w:firstLine="709"/>
        <w:jc w:val="both"/>
        <w:rPr>
          <w:color w:val="000000"/>
        </w:rPr>
      </w:pPr>
      <w:r>
        <w:rPr>
          <w:color w:val="000000"/>
        </w:rPr>
        <w:t>Motivaţia declarării în inactivitate fiscală ……………………………………………………….</w:t>
      </w:r>
    </w:p>
    <w:p>
      <w:pPr>
        <w:pStyle w:val="27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</w:t>
      </w:r>
      <w:r>
        <w:rPr>
          <w:color w:val="000000"/>
          <w:lang w:val="ro-RO"/>
        </w:rPr>
        <w:t xml:space="preserve"> </w:t>
      </w:r>
      <w:r>
        <w:rPr>
          <w:color w:val="000000"/>
        </w:rPr>
        <w:t>.</w:t>
      </w:r>
    </w:p>
    <w:p>
      <w:pPr>
        <w:pStyle w:val="27"/>
        <w:ind w:firstLine="709"/>
        <w:jc w:val="both"/>
        <w:rPr>
          <w:color w:val="000000"/>
          <w:lang w:val="ro-RO"/>
        </w:rPr>
      </w:pPr>
      <w:r>
        <w:rPr>
          <w:color w:val="000000"/>
          <w:lang w:val="ro-RO"/>
        </w:rPr>
        <w:t xml:space="preserve">În termen de 5 zile de la data comunicării prezentei decizii, veţi fi înscris în Registrul contribuabililor/plătitorilor inactivi/reactivaţi, afişat pe site-ul Agenţiei Naţionale de Administrare Fiscală, </w:t>
      </w:r>
      <w:r>
        <w:rPr>
          <w:color w:val="000000"/>
          <w:lang w:val="ro-RO"/>
        </w:rPr>
        <w:fldChar w:fldCharType="begin"/>
      </w:r>
      <w:r>
        <w:rPr>
          <w:color w:val="000000"/>
          <w:lang w:val="ro-RO"/>
        </w:rPr>
        <w:instrText xml:space="preserve"> HYPERLINK "http://www.anaf.ro." </w:instrText>
      </w:r>
      <w:r>
        <w:rPr>
          <w:color w:val="000000"/>
          <w:lang w:val="ro-RO"/>
        </w:rPr>
        <w:fldChar w:fldCharType="separate"/>
      </w:r>
      <w:r>
        <w:rPr>
          <w:rStyle w:val="21"/>
          <w:color w:val="auto"/>
          <w:lang w:val="ro-RO"/>
        </w:rPr>
        <w:t>www.anaf.ro.</w:t>
      </w:r>
      <w:r>
        <w:rPr>
          <w:color w:val="000000"/>
          <w:lang w:val="ro-RO"/>
        </w:rPr>
        <w:fldChar w:fldCharType="end"/>
      </w:r>
      <w:r>
        <w:rPr>
          <w:color w:val="000000"/>
          <w:lang w:val="ro-RO"/>
        </w:rPr>
        <w:t xml:space="preserve"> Prezenta decizie produce efecte faţă de terţi </w:t>
      </w:r>
      <w:r>
        <w:rPr>
          <w:color w:val="000000"/>
        </w:rPr>
        <w:t>din ziua următoare datei înscrierii în Registrul contribuabililor</w:t>
      </w:r>
      <w:r>
        <w:rPr>
          <w:color w:val="000000"/>
          <w:lang w:val="ro-RO"/>
        </w:rPr>
        <w:t xml:space="preserve">/plătitorilor </w:t>
      </w:r>
      <w:r>
        <w:rPr>
          <w:color w:val="000000"/>
        </w:rPr>
        <w:t>inactivi/reactivaţi,</w:t>
      </w:r>
      <w:r>
        <w:rPr>
          <w:color w:val="000000"/>
          <w:lang w:val="ro-RO"/>
        </w:rPr>
        <w:t xml:space="preserve"> conform art</w:t>
      </w:r>
      <w:r>
        <w:rPr>
          <w:lang w:val="ro-RO"/>
        </w:rPr>
        <w:t>. 92 alin.(13) din Codul de procedură fiscală</w:t>
      </w:r>
      <w:r>
        <w:rPr>
          <w:color w:val="000000"/>
          <w:lang w:val="ro-RO"/>
        </w:rPr>
        <w:t>.</w:t>
      </w:r>
    </w:p>
    <w:p>
      <w:pPr>
        <w:pStyle w:val="27"/>
        <w:ind w:firstLine="709"/>
        <w:jc w:val="both"/>
        <w:rPr>
          <w:color w:val="000000"/>
          <w:lang w:val="ro-RO"/>
        </w:rPr>
      </w:pPr>
      <w:r>
        <w:rPr>
          <w:color w:val="000000"/>
          <w:lang w:val="ro-RO"/>
        </w:rPr>
        <w:t>Menţionăm că, începând cu data declarării în inactivitate fiscală, sunt aplicabile prevederile art.11 alin. (6) şi (7) din Legea nr. 227/2015 privind Codul fiscal, cu modificările și completările ulterioare, după caz.</w:t>
      </w:r>
    </w:p>
    <w:p>
      <w:pPr>
        <w:pStyle w:val="27"/>
        <w:ind w:firstLine="709"/>
        <w:jc w:val="both"/>
        <w:rPr>
          <w:rFonts w:hint="default"/>
          <w:color w:val="auto"/>
          <w:lang w:val="ro-RO"/>
        </w:rPr>
      </w:pPr>
      <w:r>
        <w:rPr>
          <w:rFonts w:hint="default"/>
          <w:color w:val="auto"/>
          <w:lang w:val="ro-RO"/>
        </w:rPr>
        <w:t>Persoanei impozabile înregistrate în scopuri de TVA i se anulează codul de înregistrare în scopuri de TVA potrivit art.316 alin.(11) lit.a) din Codul fiscal, de la data declarării ca inactivă fiscal.</w:t>
      </w:r>
    </w:p>
    <w:p>
      <w:pPr>
        <w:autoSpaceDE w:val="0"/>
        <w:autoSpaceDN w:val="0"/>
        <w:adjustRightInd w:val="0"/>
        <w:jc w:val="both"/>
        <w:rPr>
          <w:lang w:val="en-US" w:eastAsia="en-US"/>
        </w:rPr>
      </w:pPr>
      <w:r>
        <w:rPr>
          <w:color w:val="auto"/>
        </w:rPr>
        <w:tab/>
      </w:r>
      <w:r>
        <w:rPr>
          <w:color w:val="auto"/>
        </w:rPr>
        <w:t>De asemenea, potrivit art. 4 alin.</w:t>
      </w:r>
      <w:r>
        <w:rPr>
          <w:color w:val="auto"/>
          <w:lang w:val="ro-RO"/>
        </w:rPr>
        <w:t xml:space="preserve"> </w:t>
      </w:r>
      <w:r>
        <w:rPr>
          <w:color w:val="auto"/>
        </w:rPr>
        <w:t>(5) din Ordonanţa Guvernului nr.</w:t>
      </w:r>
      <w:r>
        <w:rPr>
          <w:color w:val="auto"/>
          <w:lang w:val="ro-RO"/>
        </w:rPr>
        <w:t xml:space="preserve"> </w:t>
      </w:r>
      <w:r>
        <w:rPr>
          <w:color w:val="auto"/>
        </w:rPr>
        <w:t>39/2015 privind c</w:t>
      </w:r>
      <w:r>
        <w:t>azierul fiscal,</w:t>
      </w:r>
      <w:r>
        <w:rPr>
          <w:lang w:val="ro-RO"/>
        </w:rPr>
        <w:t xml:space="preserve"> </w:t>
      </w:r>
      <w:r>
        <w:rPr>
          <w:rFonts w:hint="default"/>
        </w:rPr>
        <w:t>aprobată cu modificări prin Legea nr. 327/2015</w:t>
      </w:r>
      <w:r>
        <w:rPr>
          <w:rFonts w:hint="default"/>
          <w:lang w:val="ro-RO"/>
        </w:rPr>
        <w:t xml:space="preserve">, </w:t>
      </w:r>
      <w:r>
        <w:rPr>
          <w:lang w:val="ro-RO"/>
        </w:rPr>
        <w:t xml:space="preserve">cu modificările și completările ulterioare, </w:t>
      </w:r>
      <w:r>
        <w:rPr>
          <w:iCs/>
        </w:rPr>
        <w:t xml:space="preserve">inactivitatea fiscală se înscrie atât în cazierul fiscal al </w:t>
      </w:r>
      <w:r>
        <w:rPr>
          <w:lang w:val="en-US" w:eastAsia="en-US"/>
        </w:rPr>
        <w:t>contribuabilului declarat inactiv, cât şi al reprezentanţilor legali sau reprezentanţilor desemnaţi ai acestuia, cu excepţia inactivităţii fiscale declarate ca urmare a înscrierii inactivităţii temporare la registrul comerţului, prevăzută în Codul de procedură fiscală.</w:t>
      </w:r>
    </w:p>
    <w:p>
      <w:pPr>
        <w:spacing w:beforeLines="0" w:afterLines="0"/>
        <w:ind w:firstLine="720"/>
        <w:jc w:val="both"/>
      </w:pPr>
      <w:r>
        <w:t>Împotriva prezentei decizii se poate formula contestaţie la organul fiscal emitent, în termen de 45 de zile de la data comunicării</w:t>
      </w:r>
      <w:r>
        <w:rPr>
          <w:lang w:val="ro-RO"/>
        </w:rPr>
        <w:t xml:space="preserve"> </w:t>
      </w:r>
      <w:r>
        <w:rPr>
          <w:rFonts w:hint="default" w:ascii="Times New Roman" w:hAnsi="Times New Roman" w:eastAsia="Times New Roman CE"/>
          <w:sz w:val="24"/>
          <w:lang w:val="en-US"/>
        </w:rPr>
        <w:t>actului administrativ fiscal, sub sancţiunea decăderii</w:t>
      </w:r>
      <w:r>
        <w:rPr>
          <w:rFonts w:hint="default" w:ascii="Times New Roman" w:hAnsi="Times New Roman" w:eastAsia="Times New Roman CE"/>
          <w:sz w:val="24"/>
          <w:lang w:val="ro-RO"/>
        </w:rPr>
        <w:t xml:space="preserve">, </w:t>
      </w:r>
      <w:r>
        <w:t>în</w:t>
      </w:r>
      <w:r>
        <w:rPr>
          <w:lang w:val="ro-RO"/>
        </w:rPr>
        <w:t xml:space="preserve"> </w:t>
      </w:r>
      <w:r>
        <w:t xml:space="preserve">conformitate cu dispoziţiile </w:t>
      </w:r>
      <w:r>
        <w:rPr>
          <w:lang w:val="ro-RO"/>
        </w:rPr>
        <w:t>art. 268 alin. (1)</w:t>
      </w:r>
      <w:r>
        <w:rPr>
          <w:rFonts w:hint="default"/>
          <w:lang w:val="ro-RO"/>
        </w:rPr>
        <w:t>, art. 269 alin.(4)</w:t>
      </w:r>
      <w:r>
        <w:rPr>
          <w:lang w:val="ro-RO"/>
        </w:rPr>
        <w:t xml:space="preserve"> și </w:t>
      </w:r>
      <w:r>
        <w:t>art.</w:t>
      </w:r>
      <w:r>
        <w:rPr>
          <w:lang w:val="ro-RO"/>
        </w:rPr>
        <w:t xml:space="preserve"> </w:t>
      </w:r>
      <w:r>
        <w:t>270 alin.</w:t>
      </w:r>
      <w:r>
        <w:rPr>
          <w:lang w:val="ro-RO"/>
        </w:rPr>
        <w:t xml:space="preserve"> </w:t>
      </w:r>
      <w:r>
        <w:t>(1)</w:t>
      </w:r>
      <w:r>
        <w:rPr>
          <w:lang w:val="ro-RO"/>
        </w:rPr>
        <w:t xml:space="preserve"> </w:t>
      </w:r>
      <w:r>
        <w:t>din Codul de procedură fiscală.</w:t>
      </w:r>
    </w:p>
    <w:p>
      <w:pPr>
        <w:autoSpaceDE w:val="0"/>
        <w:autoSpaceDN w:val="0"/>
        <w:adjustRightInd w:val="0"/>
        <w:jc w:val="both"/>
        <w:rPr>
          <w:iCs/>
          <w:color w:val="auto"/>
        </w:rPr>
      </w:pPr>
      <w:r>
        <w:rPr>
          <w:iCs/>
        </w:rPr>
        <w:tab/>
      </w:r>
    </w:p>
    <w:p>
      <w:pPr>
        <w:autoSpaceDE w:val="0"/>
        <w:autoSpaceDN w:val="0"/>
        <w:adjustRightInd w:val="0"/>
        <w:ind w:firstLine="709"/>
        <w:jc w:val="both"/>
        <w:rPr>
          <w:iCs/>
          <w:color w:val="auto"/>
          <w:lang w:val="ro-RO"/>
        </w:rPr>
      </w:pPr>
      <w:r>
        <w:rPr>
          <w:iCs/>
          <w:color w:val="auto"/>
          <w:lang w:val="ro-RO"/>
        </w:rPr>
        <w:t>Director general/</w:t>
      </w:r>
      <w:r>
        <w:rPr>
          <w:iCs/>
          <w:color w:val="auto"/>
          <w:lang w:val="en-US"/>
        </w:rPr>
        <w:t>Conduc</w:t>
      </w:r>
      <w:r>
        <w:rPr>
          <w:iCs/>
          <w:color w:val="auto"/>
          <w:lang w:val="ro-RO"/>
        </w:rPr>
        <w:t>ă</w:t>
      </w:r>
      <w:r>
        <w:rPr>
          <w:iCs/>
          <w:color w:val="auto"/>
          <w:lang w:val="en-US"/>
        </w:rPr>
        <w:t>torul unit</w:t>
      </w:r>
      <w:r>
        <w:rPr>
          <w:iCs/>
          <w:color w:val="auto"/>
          <w:lang w:val="ro-RO"/>
        </w:rPr>
        <w:t>ății fiscale</w:t>
      </w:r>
    </w:p>
    <w:p>
      <w:pPr>
        <w:autoSpaceDE w:val="0"/>
        <w:autoSpaceDN w:val="0"/>
        <w:adjustRightInd w:val="0"/>
        <w:ind w:firstLine="709"/>
        <w:jc w:val="both"/>
        <w:rPr>
          <w:iCs/>
          <w:color w:val="auto"/>
        </w:rPr>
      </w:pPr>
      <w:r>
        <w:rPr>
          <w:iCs/>
          <w:color w:val="auto"/>
        </w:rPr>
        <w:tab/>
      </w:r>
      <w:r>
        <w:rPr>
          <w:iCs/>
          <w:color w:val="auto"/>
        </w:rPr>
        <w:t>Numele şi prenumele ....................................</w:t>
      </w:r>
    </w:p>
    <w:p>
      <w:pPr>
        <w:autoSpaceDE w:val="0"/>
        <w:autoSpaceDN w:val="0"/>
        <w:adjustRightInd w:val="0"/>
        <w:ind w:firstLine="720"/>
        <w:jc w:val="both"/>
        <w:rPr>
          <w:strike/>
        </w:rPr>
      </w:pPr>
      <w:r>
        <w:rPr>
          <w:iCs/>
        </w:rPr>
        <w:t>Semnătura şi ştampila unităţii ......................</w:t>
      </w:r>
    </w:p>
    <w:sectPr>
      <w:headerReference r:id="rId3" w:type="default"/>
      <w:footerReference r:id="rId4" w:type="default"/>
      <w:pgSz w:w="11906" w:h="16838"/>
      <w:pgMar w:top="320" w:right="567" w:bottom="1134" w:left="1448" w:header="362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Roman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sz w:val="20"/>
        <w:szCs w:val="20"/>
      </w:rPr>
    </w:pPr>
    <w:r>
      <w:rPr>
        <w:rFonts w:hint="default"/>
        <w:sz w:val="20"/>
        <w:szCs w:val="20"/>
      </w:rPr>
      <w:t>Document care conține date cu caracter personal protejate de prevederile Regulamentului (UE) 2016/679</w:t>
    </w:r>
  </w:p>
  <w:p>
    <w:pPr>
      <w:jc w:val="both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3098800</wp:posOffset>
              </wp:positionH>
              <wp:positionV relativeFrom="paragraph">
                <wp:posOffset>58420</wp:posOffset>
              </wp:positionV>
              <wp:extent cx="1828800" cy="18288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fldChar w:fldCharType="begin"/>
                          </w:r>
                          <w:r>
                            <w:rPr>
                              <w:lang w:val="ro-RO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ro-RO"/>
                            </w:rPr>
                            <w:fldChar w:fldCharType="separate"/>
                          </w:r>
                          <w:r>
                            <w:rPr>
                              <w:lang w:val="ro-RO"/>
                            </w:rPr>
                            <w:t>1</w:t>
                          </w:r>
                          <w:r>
                            <w:rPr>
                              <w:lang w:val="ro-RO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44pt;margin-top:4.6pt;height:144pt;width:144pt;mso-position-horizontal-relative:margin;mso-wrap-style:none;z-index:251661312;mso-width-relative:page;mso-height-relative:page;" filled="f" stroked="f" coordsize="21600,21600" o:gfxdata="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KnPX9YAAAAJAQAADwAAAAAAAAABACAAAAAiAAAAZHJzL2Rv&#10;d25yZXYueG1sUEsBAhQAFAAAAAgAh07iQC46l0cDAgAAEgQAAA4AAAAAAAAAAQAgAAAAJQEAAGRy&#10;cy9lMm9Eb2MueG1sUEsFBgAAAAAGAAYAWQEAAJ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fldChar w:fldCharType="begin"/>
                    </w:r>
                    <w:r>
                      <w:rPr>
                        <w:lang w:val="ro-RO"/>
                      </w:rPr>
                      <w:instrText xml:space="preserve"> PAGE  \* MERGEFORMAT </w:instrText>
                    </w:r>
                    <w:r>
                      <w:rPr>
                        <w:lang w:val="ro-RO"/>
                      </w:rPr>
                      <w:fldChar w:fldCharType="separate"/>
                    </w:r>
                    <w:r>
                      <w:rPr>
                        <w:lang w:val="ro-RO"/>
                      </w:rPr>
                      <w:t>1</w:t>
                    </w:r>
                    <w:r>
                      <w:rPr>
                        <w:lang w:val="ro-RO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jc w:val="both"/>
      <w:rPr>
        <w:sz w:val="20"/>
        <w:szCs w:val="20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1501775</wp:posOffset>
              </wp:positionH>
              <wp:positionV relativeFrom="paragraph">
                <wp:posOffset>38735</wp:posOffset>
              </wp:positionV>
              <wp:extent cx="2400300" cy="291465"/>
              <wp:effectExtent l="0" t="0" r="0" b="0"/>
              <wp:wrapNone/>
              <wp:docPr id="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291465"/>
                      </a:xfrm>
                      <a:prstGeom prst="rect">
                        <a:avLst/>
                      </a:prstGeom>
                      <a:solidFill>
                        <a:srgbClr val="00006F">
                          <a:alpha val="0"/>
                        </a:srgbClr>
                      </a:solidFill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Franklin Gothic Demi" w:hAnsi="Franklin Gothic Demi"/>
                            </w:rPr>
                          </w:pPr>
                          <w:r>
                            <w:rPr>
                              <w:rFonts w:ascii="Franklin Gothic Demi" w:hAnsi="Franklin Gothic Demi"/>
                            </w:rPr>
                            <w:t>www.anaf.ro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Text Box 15" o:spid="_x0000_s1026" o:spt="202" type="#_x0000_t202" style="position:absolute;left:0pt;margin-left:118.25pt;margin-top:3.05pt;height:22.95pt;width:189pt;z-index:251660288;mso-width-relative:page;mso-height-relative:page;" fillcolor="#00006F" filled="t" stroked="f" coordsize="21600,21600" o:gfxdata="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bEuiWdcAAAAI&#10;AQAADwAAAAAAAAABACAAAAAiAAAAZHJzL2Rvd25yZXYueG1sUEsBAhQAFAAAAAgAh07iQFaaILWr&#10;AQAATwMAAA4AAAAAAAAAAQAgAAAAJgEAAGRycy9lMm9Eb2MueG1sUEsFBgAAAAAGAAYAWQEAAEMF&#10;AAAAAA==&#10;">
              <v:fill on="t" opacity="0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Franklin Gothic Demi" w:hAnsi="Franklin Gothic Demi"/>
                      </w:rPr>
                    </w:pPr>
                    <w:r>
                      <w:rPr>
                        <w:rFonts w:ascii="Franklin Gothic Demi" w:hAnsi="Franklin Gothic Demi"/>
                      </w:rPr>
                      <w:t>www.anaf.ro</w:t>
                    </w:r>
                  </w:p>
                </w:txbxContent>
              </v:textbox>
            </v:shape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1295400</wp:posOffset>
              </wp:positionH>
              <wp:positionV relativeFrom="paragraph">
                <wp:posOffset>107315</wp:posOffset>
              </wp:positionV>
              <wp:extent cx="4679950" cy="252095"/>
              <wp:effectExtent l="0" t="0" r="6350" b="14605"/>
              <wp:wrapNone/>
              <wp:docPr id="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79950" cy="252095"/>
                      </a:xfrm>
                      <a:prstGeom prst="rect">
                        <a:avLst/>
                      </a:prstGeom>
                      <a:solidFill>
                        <a:srgbClr val="00006F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14" o:spid="_x0000_s1026" o:spt="1" style="position:absolute;left:0pt;margin-left:102pt;margin-top:8.45pt;height:19.85pt;width:368.5pt;z-index:-251657216;mso-width-relative:page;mso-height-relative:page;" fillcolor="#00006F" filled="t" stroked="f" coordsize="21600,21600" o:gfxdata="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fMb3oNgAAAAJAQAADwAAAAAAAAABACAAAAAiAAAA&#10;ZHJzL2Rvd25yZXYueG1sUEsBAhQAFAAAAAgAh07iQFJDeyeVAQAAHgMAAA4AAAAAAAAAAQAgAAAA&#10;JwEAAGRycy9lMm9Eb2MueG1sUEsFBgAAAAAGAAYAWQEAAC4FAAAAAA==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  <w:p>
    <w:pPr>
      <w:jc w:val="both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lang w:val="ro-RO"/>
      </w:rPr>
    </w:pPr>
    <w:r>
      <w:rPr>
        <w:sz w:val="24"/>
        <w:szCs w:val="24"/>
        <w:lang w:val="ro-RO"/>
      </w:rPr>
      <w:t>PROIECT</w:t>
    </w:r>
    <w:r>
      <w:rPr>
        <w:lang w:val="fr-FR"/>
      </w:rPr>
      <w:tab/>
    </w:r>
    <w:r>
      <w:rPr>
        <w:lang w:val="fr-FR"/>
      </w:rPr>
      <w:tab/>
    </w:r>
    <w:r>
      <w:rPr>
        <w:lang w:val="fr-FR"/>
      </w:rPr>
      <w:tab/>
    </w:r>
    <w:r>
      <w:rPr>
        <w:lang w:val="fr-FR"/>
      </w:rPr>
      <w:tab/>
    </w:r>
    <w:r>
      <w:rPr>
        <w:lang w:val="fr-FR"/>
      </w:rPr>
      <w:tab/>
    </w:r>
    <w:r>
      <w:rPr>
        <w:lang w:val="fr-FR"/>
      </w:rPr>
      <w:tab/>
    </w:r>
    <w:r>
      <w:rPr>
        <w:lang w:val="ro-RO"/>
      </w:rPr>
      <w:t>Anexa nr. 6</w:t>
    </w:r>
  </w:p>
  <w:p>
    <w:pPr>
      <w:pStyle w:val="2"/>
      <w:ind w:left="7200" w:firstLine="720"/>
      <w:rPr>
        <w:sz w:val="24"/>
        <w:lang w:val="fr-FR"/>
      </w:rPr>
    </w:pPr>
  </w:p>
  <w:p>
    <w:pPr>
      <w:pStyle w:val="2"/>
      <w:ind w:left="7200" w:firstLine="720"/>
      <w:rPr>
        <w:rFonts w:ascii="Copperplate Gothic Bold" w:hAnsi="Copperplate Gothic Bold" w:cs="Arial"/>
        <w:color w:val="333333"/>
        <w:sz w:val="24"/>
        <w:lang w:val="fr-FR"/>
      </w:rPr>
    </w:pPr>
    <w:r>
      <w:rPr>
        <w:sz w:val="24"/>
        <w:lang w:val="fr-FR"/>
      </w:rPr>
      <w:t xml:space="preserve">   </w:t>
    </w:r>
    <w:r>
      <w:rPr>
        <w:sz w:val="24"/>
        <w:lang w:val="fr-FR"/>
      </w:rPr>
      <w:tab/>
    </w:r>
    <w:r>
      <w:rPr>
        <w:sz w:val="24"/>
        <w:lang w:val="fr-FR"/>
      </w:rPr>
      <w:tab/>
    </w:r>
  </w:p>
  <w:p>
    <w:pPr>
      <w:tabs>
        <w:tab w:val="left" w:pos="6900"/>
      </w:tabs>
      <w:rPr>
        <w:lang w:val="fr-FR"/>
      </w:rPr>
    </w:pPr>
    <w:r>
      <w:rPr>
        <w:lang w:val="fr-FR"/>
      </w:rPr>
      <w:tab/>
    </w:r>
  </w:p>
  <w:p>
    <w:pPr>
      <w:pStyle w:val="2"/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81"/>
  <w:drawingGridVerticalSpacing w:val="181"/>
  <w:displayHorizontalDrawingGridEvery w:val="1"/>
  <w:displayVerticalDrawingGridEvery w:val="1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114"/>
    <w:rsid w:val="000121B0"/>
    <w:rsid w:val="0002215D"/>
    <w:rsid w:val="000311C2"/>
    <w:rsid w:val="00031A19"/>
    <w:rsid w:val="00034191"/>
    <w:rsid w:val="00044551"/>
    <w:rsid w:val="000502BB"/>
    <w:rsid w:val="00052888"/>
    <w:rsid w:val="00055FC2"/>
    <w:rsid w:val="000568DB"/>
    <w:rsid w:val="00065A06"/>
    <w:rsid w:val="00067330"/>
    <w:rsid w:val="0007308B"/>
    <w:rsid w:val="00073B90"/>
    <w:rsid w:val="00073CF5"/>
    <w:rsid w:val="00082C83"/>
    <w:rsid w:val="00082DFB"/>
    <w:rsid w:val="00083820"/>
    <w:rsid w:val="000873DD"/>
    <w:rsid w:val="00094455"/>
    <w:rsid w:val="000A11CB"/>
    <w:rsid w:val="000B4A8E"/>
    <w:rsid w:val="000C078F"/>
    <w:rsid w:val="000C0D50"/>
    <w:rsid w:val="000C17AD"/>
    <w:rsid w:val="000C2A63"/>
    <w:rsid w:val="000C5F57"/>
    <w:rsid w:val="000D1EB1"/>
    <w:rsid w:val="000E596D"/>
    <w:rsid w:val="000F0312"/>
    <w:rsid w:val="00103EDF"/>
    <w:rsid w:val="00110547"/>
    <w:rsid w:val="0011253C"/>
    <w:rsid w:val="0011315D"/>
    <w:rsid w:val="001161E7"/>
    <w:rsid w:val="00117C0C"/>
    <w:rsid w:val="00127A2F"/>
    <w:rsid w:val="00132FCF"/>
    <w:rsid w:val="00143589"/>
    <w:rsid w:val="00151450"/>
    <w:rsid w:val="001558F1"/>
    <w:rsid w:val="00162C3A"/>
    <w:rsid w:val="00166C71"/>
    <w:rsid w:val="00170B15"/>
    <w:rsid w:val="00174A1C"/>
    <w:rsid w:val="00193E6B"/>
    <w:rsid w:val="001965F5"/>
    <w:rsid w:val="001A5717"/>
    <w:rsid w:val="001A660A"/>
    <w:rsid w:val="001C5000"/>
    <w:rsid w:val="001C57EE"/>
    <w:rsid w:val="001D1A0A"/>
    <w:rsid w:val="001D376B"/>
    <w:rsid w:val="001F7A5C"/>
    <w:rsid w:val="00201107"/>
    <w:rsid w:val="002020C9"/>
    <w:rsid w:val="00211001"/>
    <w:rsid w:val="002152CB"/>
    <w:rsid w:val="002223AE"/>
    <w:rsid w:val="00227545"/>
    <w:rsid w:val="002308A0"/>
    <w:rsid w:val="0025190F"/>
    <w:rsid w:val="00256D1C"/>
    <w:rsid w:val="0026307E"/>
    <w:rsid w:val="0026636F"/>
    <w:rsid w:val="00267A30"/>
    <w:rsid w:val="002B24DF"/>
    <w:rsid w:val="002C572D"/>
    <w:rsid w:val="002D2AC1"/>
    <w:rsid w:val="002E26FF"/>
    <w:rsid w:val="002E43BB"/>
    <w:rsid w:val="002E552C"/>
    <w:rsid w:val="002F60EC"/>
    <w:rsid w:val="0030308D"/>
    <w:rsid w:val="003078CB"/>
    <w:rsid w:val="0031195D"/>
    <w:rsid w:val="003125EE"/>
    <w:rsid w:val="003252D2"/>
    <w:rsid w:val="00334C96"/>
    <w:rsid w:val="00337CF5"/>
    <w:rsid w:val="00341436"/>
    <w:rsid w:val="00343446"/>
    <w:rsid w:val="00344AAD"/>
    <w:rsid w:val="0037089C"/>
    <w:rsid w:val="00370DF4"/>
    <w:rsid w:val="003866A2"/>
    <w:rsid w:val="00394DCD"/>
    <w:rsid w:val="003A124B"/>
    <w:rsid w:val="003A1476"/>
    <w:rsid w:val="003A158A"/>
    <w:rsid w:val="003B2F23"/>
    <w:rsid w:val="003B30D9"/>
    <w:rsid w:val="003C0F45"/>
    <w:rsid w:val="003C26E5"/>
    <w:rsid w:val="003D5019"/>
    <w:rsid w:val="003D5F88"/>
    <w:rsid w:val="003E0553"/>
    <w:rsid w:val="003E0C21"/>
    <w:rsid w:val="003E790C"/>
    <w:rsid w:val="003F0A46"/>
    <w:rsid w:val="003F0E3F"/>
    <w:rsid w:val="003F7E54"/>
    <w:rsid w:val="003F7E62"/>
    <w:rsid w:val="004038B1"/>
    <w:rsid w:val="0040599E"/>
    <w:rsid w:val="004114DD"/>
    <w:rsid w:val="00417135"/>
    <w:rsid w:val="00431E14"/>
    <w:rsid w:val="00437B8F"/>
    <w:rsid w:val="004400A0"/>
    <w:rsid w:val="00441F26"/>
    <w:rsid w:val="00446B5C"/>
    <w:rsid w:val="004505E8"/>
    <w:rsid w:val="004517F5"/>
    <w:rsid w:val="00457884"/>
    <w:rsid w:val="00462B23"/>
    <w:rsid w:val="00472B8E"/>
    <w:rsid w:val="00475BF9"/>
    <w:rsid w:val="004760BD"/>
    <w:rsid w:val="00480536"/>
    <w:rsid w:val="00482475"/>
    <w:rsid w:val="0049017C"/>
    <w:rsid w:val="00491526"/>
    <w:rsid w:val="00491859"/>
    <w:rsid w:val="0049237C"/>
    <w:rsid w:val="0049286A"/>
    <w:rsid w:val="004950F4"/>
    <w:rsid w:val="00496963"/>
    <w:rsid w:val="004A0224"/>
    <w:rsid w:val="004A0423"/>
    <w:rsid w:val="004A3A38"/>
    <w:rsid w:val="004A69F9"/>
    <w:rsid w:val="004B5371"/>
    <w:rsid w:val="004C411E"/>
    <w:rsid w:val="004C6FC5"/>
    <w:rsid w:val="004C7BEE"/>
    <w:rsid w:val="004D1784"/>
    <w:rsid w:val="004D2067"/>
    <w:rsid w:val="004D4BD0"/>
    <w:rsid w:val="004E0509"/>
    <w:rsid w:val="004E06F2"/>
    <w:rsid w:val="004E49E6"/>
    <w:rsid w:val="004E66ED"/>
    <w:rsid w:val="004F28C1"/>
    <w:rsid w:val="004F2BB9"/>
    <w:rsid w:val="004F7474"/>
    <w:rsid w:val="00510440"/>
    <w:rsid w:val="0051097C"/>
    <w:rsid w:val="00512098"/>
    <w:rsid w:val="00513120"/>
    <w:rsid w:val="00514430"/>
    <w:rsid w:val="005201EC"/>
    <w:rsid w:val="00535277"/>
    <w:rsid w:val="00536585"/>
    <w:rsid w:val="00540E1C"/>
    <w:rsid w:val="0054156E"/>
    <w:rsid w:val="00542122"/>
    <w:rsid w:val="00546D1B"/>
    <w:rsid w:val="00555859"/>
    <w:rsid w:val="005605E4"/>
    <w:rsid w:val="005618ED"/>
    <w:rsid w:val="005624B3"/>
    <w:rsid w:val="00566BFE"/>
    <w:rsid w:val="005673E8"/>
    <w:rsid w:val="00581DC0"/>
    <w:rsid w:val="00582469"/>
    <w:rsid w:val="00586C38"/>
    <w:rsid w:val="00592723"/>
    <w:rsid w:val="005962B3"/>
    <w:rsid w:val="0059708F"/>
    <w:rsid w:val="005A4D9F"/>
    <w:rsid w:val="005A69F0"/>
    <w:rsid w:val="005B6D80"/>
    <w:rsid w:val="005B7F05"/>
    <w:rsid w:val="005C351B"/>
    <w:rsid w:val="005C768E"/>
    <w:rsid w:val="005D2D50"/>
    <w:rsid w:val="005F1AA3"/>
    <w:rsid w:val="0060636B"/>
    <w:rsid w:val="0064140D"/>
    <w:rsid w:val="006459C6"/>
    <w:rsid w:val="00646338"/>
    <w:rsid w:val="00653EF5"/>
    <w:rsid w:val="00657E81"/>
    <w:rsid w:val="00665363"/>
    <w:rsid w:val="0067468D"/>
    <w:rsid w:val="006818AA"/>
    <w:rsid w:val="00683488"/>
    <w:rsid w:val="00692374"/>
    <w:rsid w:val="006968C9"/>
    <w:rsid w:val="006A2715"/>
    <w:rsid w:val="006A443C"/>
    <w:rsid w:val="006A714F"/>
    <w:rsid w:val="006B037E"/>
    <w:rsid w:val="006B1249"/>
    <w:rsid w:val="006B5F82"/>
    <w:rsid w:val="006C052C"/>
    <w:rsid w:val="006C086F"/>
    <w:rsid w:val="006C6A9E"/>
    <w:rsid w:val="006D05A0"/>
    <w:rsid w:val="006D4B88"/>
    <w:rsid w:val="006D56BA"/>
    <w:rsid w:val="006D5FA5"/>
    <w:rsid w:val="006D6D67"/>
    <w:rsid w:val="006D793A"/>
    <w:rsid w:val="006E0CC6"/>
    <w:rsid w:val="006E70E2"/>
    <w:rsid w:val="006F4FE6"/>
    <w:rsid w:val="00700934"/>
    <w:rsid w:val="00702F74"/>
    <w:rsid w:val="00704909"/>
    <w:rsid w:val="00706785"/>
    <w:rsid w:val="0071711A"/>
    <w:rsid w:val="00741899"/>
    <w:rsid w:val="00742ADA"/>
    <w:rsid w:val="0074688F"/>
    <w:rsid w:val="00753677"/>
    <w:rsid w:val="0076207F"/>
    <w:rsid w:val="00763DDB"/>
    <w:rsid w:val="007758BF"/>
    <w:rsid w:val="007811B7"/>
    <w:rsid w:val="007828A5"/>
    <w:rsid w:val="007845EC"/>
    <w:rsid w:val="007849C1"/>
    <w:rsid w:val="00796274"/>
    <w:rsid w:val="007A0547"/>
    <w:rsid w:val="007B15CF"/>
    <w:rsid w:val="007B1F5C"/>
    <w:rsid w:val="007B5F2E"/>
    <w:rsid w:val="007D05BF"/>
    <w:rsid w:val="007D1524"/>
    <w:rsid w:val="007E45EA"/>
    <w:rsid w:val="007E5353"/>
    <w:rsid w:val="007F3CB8"/>
    <w:rsid w:val="007F7B8B"/>
    <w:rsid w:val="00805136"/>
    <w:rsid w:val="0081168A"/>
    <w:rsid w:val="00813798"/>
    <w:rsid w:val="00822DBF"/>
    <w:rsid w:val="008258BF"/>
    <w:rsid w:val="008477E2"/>
    <w:rsid w:val="00867386"/>
    <w:rsid w:val="008806B4"/>
    <w:rsid w:val="00881888"/>
    <w:rsid w:val="0088282D"/>
    <w:rsid w:val="008A4904"/>
    <w:rsid w:val="008B208B"/>
    <w:rsid w:val="008B317F"/>
    <w:rsid w:val="008C003C"/>
    <w:rsid w:val="008C07A1"/>
    <w:rsid w:val="008C2EBA"/>
    <w:rsid w:val="008C4862"/>
    <w:rsid w:val="008C48EE"/>
    <w:rsid w:val="008C7A5B"/>
    <w:rsid w:val="008D7F59"/>
    <w:rsid w:val="008F49F7"/>
    <w:rsid w:val="008F6F54"/>
    <w:rsid w:val="009030BF"/>
    <w:rsid w:val="00904022"/>
    <w:rsid w:val="00904CEF"/>
    <w:rsid w:val="0091384D"/>
    <w:rsid w:val="00921A4B"/>
    <w:rsid w:val="00921DE1"/>
    <w:rsid w:val="00924590"/>
    <w:rsid w:val="00924B4E"/>
    <w:rsid w:val="00942A90"/>
    <w:rsid w:val="00943191"/>
    <w:rsid w:val="009460F3"/>
    <w:rsid w:val="00955FEB"/>
    <w:rsid w:val="00957435"/>
    <w:rsid w:val="009639B3"/>
    <w:rsid w:val="00965351"/>
    <w:rsid w:val="009663BE"/>
    <w:rsid w:val="00993A66"/>
    <w:rsid w:val="009B3C5C"/>
    <w:rsid w:val="009B6422"/>
    <w:rsid w:val="009B7CBB"/>
    <w:rsid w:val="009C1C34"/>
    <w:rsid w:val="009D0F89"/>
    <w:rsid w:val="009D2700"/>
    <w:rsid w:val="009F1BA1"/>
    <w:rsid w:val="00A01253"/>
    <w:rsid w:val="00A0380D"/>
    <w:rsid w:val="00A045CF"/>
    <w:rsid w:val="00A04A0C"/>
    <w:rsid w:val="00A06062"/>
    <w:rsid w:val="00A06445"/>
    <w:rsid w:val="00A127B6"/>
    <w:rsid w:val="00A20CA4"/>
    <w:rsid w:val="00A2330C"/>
    <w:rsid w:val="00A241DB"/>
    <w:rsid w:val="00A31CFD"/>
    <w:rsid w:val="00A32810"/>
    <w:rsid w:val="00A4159A"/>
    <w:rsid w:val="00A45208"/>
    <w:rsid w:val="00A461F2"/>
    <w:rsid w:val="00A46A38"/>
    <w:rsid w:val="00A51579"/>
    <w:rsid w:val="00A54786"/>
    <w:rsid w:val="00A647F9"/>
    <w:rsid w:val="00A651EC"/>
    <w:rsid w:val="00A67B42"/>
    <w:rsid w:val="00A74436"/>
    <w:rsid w:val="00A75E31"/>
    <w:rsid w:val="00A94E42"/>
    <w:rsid w:val="00AA413F"/>
    <w:rsid w:val="00AA7855"/>
    <w:rsid w:val="00AC2D94"/>
    <w:rsid w:val="00AC3DC0"/>
    <w:rsid w:val="00AC6C8E"/>
    <w:rsid w:val="00AD444C"/>
    <w:rsid w:val="00AD6EEB"/>
    <w:rsid w:val="00AE1FAA"/>
    <w:rsid w:val="00AE3F33"/>
    <w:rsid w:val="00B06519"/>
    <w:rsid w:val="00B17A57"/>
    <w:rsid w:val="00B20939"/>
    <w:rsid w:val="00B22568"/>
    <w:rsid w:val="00B40019"/>
    <w:rsid w:val="00B46A4B"/>
    <w:rsid w:val="00B47D7D"/>
    <w:rsid w:val="00B54666"/>
    <w:rsid w:val="00B86559"/>
    <w:rsid w:val="00B91EB4"/>
    <w:rsid w:val="00B96080"/>
    <w:rsid w:val="00B974ED"/>
    <w:rsid w:val="00BA62A3"/>
    <w:rsid w:val="00BA7300"/>
    <w:rsid w:val="00BB11E0"/>
    <w:rsid w:val="00BB2BE0"/>
    <w:rsid w:val="00BC090D"/>
    <w:rsid w:val="00BC26AC"/>
    <w:rsid w:val="00BC2D29"/>
    <w:rsid w:val="00BC6CA1"/>
    <w:rsid w:val="00BE026B"/>
    <w:rsid w:val="00BE2579"/>
    <w:rsid w:val="00BE4057"/>
    <w:rsid w:val="00BE7C81"/>
    <w:rsid w:val="00BF3E4C"/>
    <w:rsid w:val="00BF4764"/>
    <w:rsid w:val="00C00AB9"/>
    <w:rsid w:val="00C055B4"/>
    <w:rsid w:val="00C06276"/>
    <w:rsid w:val="00C17462"/>
    <w:rsid w:val="00C246AD"/>
    <w:rsid w:val="00C27C53"/>
    <w:rsid w:val="00C327F6"/>
    <w:rsid w:val="00C44287"/>
    <w:rsid w:val="00C539B5"/>
    <w:rsid w:val="00C550CA"/>
    <w:rsid w:val="00C66EC5"/>
    <w:rsid w:val="00C83EF3"/>
    <w:rsid w:val="00C846AF"/>
    <w:rsid w:val="00C8793B"/>
    <w:rsid w:val="00C96932"/>
    <w:rsid w:val="00CA1E94"/>
    <w:rsid w:val="00CA6AB5"/>
    <w:rsid w:val="00CB0945"/>
    <w:rsid w:val="00CB119D"/>
    <w:rsid w:val="00CB194E"/>
    <w:rsid w:val="00CB4AD2"/>
    <w:rsid w:val="00CB5729"/>
    <w:rsid w:val="00CB775F"/>
    <w:rsid w:val="00CC3C8D"/>
    <w:rsid w:val="00CD4F6E"/>
    <w:rsid w:val="00CE0359"/>
    <w:rsid w:val="00CE7E46"/>
    <w:rsid w:val="00CF002D"/>
    <w:rsid w:val="00CF6F32"/>
    <w:rsid w:val="00CF74E8"/>
    <w:rsid w:val="00D02B8A"/>
    <w:rsid w:val="00D12522"/>
    <w:rsid w:val="00D14121"/>
    <w:rsid w:val="00D2436B"/>
    <w:rsid w:val="00D27135"/>
    <w:rsid w:val="00D42462"/>
    <w:rsid w:val="00D42B3A"/>
    <w:rsid w:val="00D45BA9"/>
    <w:rsid w:val="00D50D07"/>
    <w:rsid w:val="00D52003"/>
    <w:rsid w:val="00D540C4"/>
    <w:rsid w:val="00D54DB0"/>
    <w:rsid w:val="00D607AE"/>
    <w:rsid w:val="00D659CA"/>
    <w:rsid w:val="00D77AAD"/>
    <w:rsid w:val="00D8755E"/>
    <w:rsid w:val="00D943C5"/>
    <w:rsid w:val="00DA014A"/>
    <w:rsid w:val="00DA3C7C"/>
    <w:rsid w:val="00DA3E66"/>
    <w:rsid w:val="00DC6349"/>
    <w:rsid w:val="00DD1455"/>
    <w:rsid w:val="00DD3AFA"/>
    <w:rsid w:val="00DE132E"/>
    <w:rsid w:val="00DE7D55"/>
    <w:rsid w:val="00DF05C8"/>
    <w:rsid w:val="00E04971"/>
    <w:rsid w:val="00E0774C"/>
    <w:rsid w:val="00E107DF"/>
    <w:rsid w:val="00E11635"/>
    <w:rsid w:val="00E16204"/>
    <w:rsid w:val="00E2202E"/>
    <w:rsid w:val="00E224BE"/>
    <w:rsid w:val="00E33381"/>
    <w:rsid w:val="00E41CCF"/>
    <w:rsid w:val="00E449DC"/>
    <w:rsid w:val="00E460E7"/>
    <w:rsid w:val="00E51509"/>
    <w:rsid w:val="00E6638F"/>
    <w:rsid w:val="00E741C1"/>
    <w:rsid w:val="00E85D59"/>
    <w:rsid w:val="00E86790"/>
    <w:rsid w:val="00E93AAB"/>
    <w:rsid w:val="00EA17E9"/>
    <w:rsid w:val="00EA742B"/>
    <w:rsid w:val="00EB25BA"/>
    <w:rsid w:val="00EB6710"/>
    <w:rsid w:val="00EB6ACE"/>
    <w:rsid w:val="00EC333E"/>
    <w:rsid w:val="00ED6A3D"/>
    <w:rsid w:val="00ED770F"/>
    <w:rsid w:val="00EE3686"/>
    <w:rsid w:val="00EF3206"/>
    <w:rsid w:val="00EF6187"/>
    <w:rsid w:val="00EF7348"/>
    <w:rsid w:val="00EF7568"/>
    <w:rsid w:val="00F01007"/>
    <w:rsid w:val="00F02141"/>
    <w:rsid w:val="00F069A6"/>
    <w:rsid w:val="00F1512A"/>
    <w:rsid w:val="00F2760B"/>
    <w:rsid w:val="00F4067D"/>
    <w:rsid w:val="00F40F9F"/>
    <w:rsid w:val="00F43F36"/>
    <w:rsid w:val="00F47BFA"/>
    <w:rsid w:val="00F6775C"/>
    <w:rsid w:val="00F753A8"/>
    <w:rsid w:val="00F769D7"/>
    <w:rsid w:val="00FA266F"/>
    <w:rsid w:val="00FA3CBB"/>
    <w:rsid w:val="00FB12A9"/>
    <w:rsid w:val="00FB309D"/>
    <w:rsid w:val="00FB6125"/>
    <w:rsid w:val="00FC0121"/>
    <w:rsid w:val="00FC26A4"/>
    <w:rsid w:val="00FC2CCE"/>
    <w:rsid w:val="00FD4B89"/>
    <w:rsid w:val="00FD5B3D"/>
    <w:rsid w:val="00FD6A96"/>
    <w:rsid w:val="00FD75D5"/>
    <w:rsid w:val="00FE2375"/>
    <w:rsid w:val="00FE4E9D"/>
    <w:rsid w:val="02563360"/>
    <w:rsid w:val="067D233D"/>
    <w:rsid w:val="06EC1FAF"/>
    <w:rsid w:val="06FB2126"/>
    <w:rsid w:val="10443F53"/>
    <w:rsid w:val="11921808"/>
    <w:rsid w:val="12AA302A"/>
    <w:rsid w:val="14EB4127"/>
    <w:rsid w:val="15AF7C52"/>
    <w:rsid w:val="17FB1567"/>
    <w:rsid w:val="18D8259D"/>
    <w:rsid w:val="18FE2993"/>
    <w:rsid w:val="194C4F2B"/>
    <w:rsid w:val="1EED25FB"/>
    <w:rsid w:val="21761AAE"/>
    <w:rsid w:val="23E46560"/>
    <w:rsid w:val="27F97C5D"/>
    <w:rsid w:val="2AC00C33"/>
    <w:rsid w:val="2C4B526E"/>
    <w:rsid w:val="2DD93084"/>
    <w:rsid w:val="30640C2C"/>
    <w:rsid w:val="32713EB6"/>
    <w:rsid w:val="355051B8"/>
    <w:rsid w:val="363A77BC"/>
    <w:rsid w:val="380C17F4"/>
    <w:rsid w:val="397E2B54"/>
    <w:rsid w:val="3C823CFA"/>
    <w:rsid w:val="3F7C5DA4"/>
    <w:rsid w:val="40826C38"/>
    <w:rsid w:val="42E5618B"/>
    <w:rsid w:val="45596196"/>
    <w:rsid w:val="45F96E64"/>
    <w:rsid w:val="46516EA5"/>
    <w:rsid w:val="465B457F"/>
    <w:rsid w:val="48C24EBE"/>
    <w:rsid w:val="48FE0554"/>
    <w:rsid w:val="498853F2"/>
    <w:rsid w:val="4A191B17"/>
    <w:rsid w:val="4A9558DF"/>
    <w:rsid w:val="4E365FB1"/>
    <w:rsid w:val="4F460233"/>
    <w:rsid w:val="56907575"/>
    <w:rsid w:val="58131346"/>
    <w:rsid w:val="587F3D54"/>
    <w:rsid w:val="59F22AC3"/>
    <w:rsid w:val="5B4E3726"/>
    <w:rsid w:val="5B8B34FD"/>
    <w:rsid w:val="5E641182"/>
    <w:rsid w:val="5EF2392A"/>
    <w:rsid w:val="61FB5F14"/>
    <w:rsid w:val="6C227248"/>
    <w:rsid w:val="6F7603CB"/>
    <w:rsid w:val="72BF5BD4"/>
    <w:rsid w:val="743F0EDF"/>
    <w:rsid w:val="766A6202"/>
    <w:rsid w:val="777C2282"/>
    <w:rsid w:val="7DDF5C60"/>
    <w:rsid w:val="7E5552C7"/>
    <w:rsid w:val="7FCE32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sz w:val="24"/>
      <w:szCs w:val="24"/>
      <w:lang w:val="ro-RO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  <w:sz w:val="22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  <w:sz w:val="20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rFonts w:ascii="TimesRomanR" w:hAnsi="TimesRomanR"/>
      <w:b/>
      <w:bCs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b/>
      <w:bCs/>
      <w:szCs w:val="20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bCs/>
      <w:sz w:val="28"/>
      <w:lang w:val="en-US"/>
    </w:rPr>
  </w:style>
  <w:style w:type="paragraph" w:styleId="7">
    <w:name w:val="heading 6"/>
    <w:basedOn w:val="1"/>
    <w:next w:val="1"/>
    <w:qFormat/>
    <w:uiPriority w:val="0"/>
    <w:pPr>
      <w:keepNext/>
      <w:ind w:firstLine="720"/>
      <w:jc w:val="center"/>
      <w:outlineLvl w:val="5"/>
    </w:pPr>
    <w:rPr>
      <w:rFonts w:ascii="TimesRomanR" w:hAnsi="TimesRomanR"/>
      <w:b/>
      <w:bCs/>
      <w:szCs w:val="20"/>
      <w:lang w:val="en-US"/>
    </w:rPr>
  </w:style>
  <w:style w:type="paragraph" w:styleId="8">
    <w:name w:val="heading 7"/>
    <w:basedOn w:val="1"/>
    <w:next w:val="1"/>
    <w:qFormat/>
    <w:uiPriority w:val="0"/>
    <w:pPr>
      <w:keepNext/>
      <w:jc w:val="both"/>
      <w:outlineLvl w:val="6"/>
    </w:pPr>
    <w:rPr>
      <w:rFonts w:ascii="TimesRomanR" w:hAnsi="TimesRomanR"/>
      <w:b/>
      <w:bCs/>
      <w:szCs w:val="20"/>
      <w:lang w:val="fr-FR"/>
    </w:rPr>
  </w:style>
  <w:style w:type="character" w:default="1" w:styleId="18">
    <w:name w:val="Default Paragraph Font"/>
    <w:semiHidden/>
    <w:qFormat/>
    <w:uiPriority w:val="0"/>
  </w:style>
  <w:style w:type="table" w:default="1" w:styleId="2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0">
    <w:name w:val="Body Text"/>
    <w:basedOn w:val="1"/>
    <w:qFormat/>
    <w:uiPriority w:val="0"/>
    <w:rPr>
      <w:sz w:val="16"/>
    </w:rPr>
  </w:style>
  <w:style w:type="paragraph" w:styleId="11">
    <w:name w:val="Body Text 2"/>
    <w:basedOn w:val="1"/>
    <w:qFormat/>
    <w:uiPriority w:val="0"/>
    <w:rPr>
      <w:sz w:val="28"/>
      <w:szCs w:val="20"/>
    </w:rPr>
  </w:style>
  <w:style w:type="paragraph" w:styleId="12">
    <w:name w:val="Body Text 3"/>
    <w:basedOn w:val="1"/>
    <w:qFormat/>
    <w:uiPriority w:val="0"/>
    <w:pPr>
      <w:jc w:val="both"/>
    </w:pPr>
    <w:rPr>
      <w:sz w:val="28"/>
      <w:szCs w:val="20"/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footnote text"/>
    <w:basedOn w:val="1"/>
    <w:semiHidden/>
    <w:qFormat/>
    <w:uiPriority w:val="0"/>
    <w:rPr>
      <w:sz w:val="20"/>
      <w:szCs w:val="20"/>
    </w:rPr>
  </w:style>
  <w:style w:type="paragraph" w:styleId="16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color w:val="000000"/>
      <w:lang w:val="en-US"/>
    </w:rPr>
  </w:style>
  <w:style w:type="character" w:styleId="19">
    <w:name w:val="FollowedHyperlink"/>
    <w:basedOn w:val="18"/>
    <w:qFormat/>
    <w:uiPriority w:val="0"/>
    <w:rPr>
      <w:color w:val="800080"/>
      <w:u w:val="single"/>
    </w:rPr>
  </w:style>
  <w:style w:type="character" w:styleId="20">
    <w:name w:val="footnote reference"/>
    <w:basedOn w:val="18"/>
    <w:semiHidden/>
    <w:qFormat/>
    <w:uiPriority w:val="0"/>
    <w:rPr>
      <w:vertAlign w:val="superscript"/>
    </w:rPr>
  </w:style>
  <w:style w:type="character" w:styleId="21">
    <w:name w:val="Hyperlink"/>
    <w:basedOn w:val="18"/>
    <w:qFormat/>
    <w:uiPriority w:val="0"/>
    <w:rPr>
      <w:color w:val="0000FF"/>
      <w:u w:val="single"/>
    </w:rPr>
  </w:style>
  <w:style w:type="paragraph" w:customStyle="1" w:styleId="23">
    <w:name w:val="Caracter Caracter"/>
    <w:basedOn w:val="1"/>
    <w:qFormat/>
    <w:uiPriority w:val="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24">
    <w:name w:val="Caracter"/>
    <w:basedOn w:val="1"/>
    <w:qFormat/>
    <w:uiPriority w:val="0"/>
    <w:rPr>
      <w:lang w:val="pl-PL" w:eastAsia="pl-PL"/>
    </w:rPr>
  </w:style>
  <w:style w:type="paragraph" w:customStyle="1" w:styleId="25">
    <w:name w:val="Default Text:1"/>
    <w:basedOn w:val="1"/>
    <w:qFormat/>
    <w:uiPriority w:val="0"/>
    <w:rPr>
      <w:snapToGrid w:val="0"/>
      <w:szCs w:val="20"/>
      <w:lang w:val="en-US"/>
    </w:rPr>
  </w:style>
  <w:style w:type="paragraph" w:customStyle="1" w:styleId="26">
    <w:name w:val=" Caracter Caracter1 Char Char Caracter Caracter"/>
    <w:basedOn w:val="1"/>
    <w:qFormat/>
    <w:uiPriority w:val="0"/>
    <w:rPr>
      <w:lang w:val="pl-PL" w:eastAsia="pl-PL"/>
    </w:rPr>
  </w:style>
  <w:style w:type="paragraph" w:customStyle="1" w:styleId="27">
    <w:name w:val="Default Text"/>
    <w:basedOn w:val="1"/>
    <w:qFormat/>
    <w:uiPriority w:val="0"/>
    <w:pPr>
      <w:autoSpaceDE w:val="0"/>
      <w:autoSpaceDN w:val="0"/>
      <w:adjustRightInd w:val="0"/>
    </w:pPr>
    <w:rPr>
      <w:lang w:val="en-US"/>
    </w:rPr>
  </w:style>
  <w:style w:type="paragraph" w:customStyle="1" w:styleId="28">
    <w:name w:val=" Caracter Caracter1"/>
    <w:basedOn w:val="1"/>
    <w:qFormat/>
    <w:uiPriority w:val="0"/>
    <w:rPr>
      <w:lang w:val="pl-PL" w:eastAsia="pl-PL"/>
    </w:rPr>
  </w:style>
  <w:style w:type="paragraph" w:customStyle="1" w:styleId="29">
    <w:name w:val="Table Text"/>
    <w:basedOn w:val="1"/>
    <w:qFormat/>
    <w:uiPriority w:val="0"/>
    <w:pPr>
      <w:tabs>
        <w:tab w:val="decimal" w:pos="0"/>
      </w:tabs>
    </w:pPr>
    <w:rPr>
      <w:snapToGrid w:val="0"/>
      <w:szCs w:val="20"/>
      <w:lang w:val="en-US"/>
    </w:rPr>
  </w:style>
  <w:style w:type="paragraph" w:customStyle="1" w:styleId="30">
    <w:name w:val=" Caracter Caracter"/>
    <w:basedOn w:val="1"/>
    <w:qFormat/>
    <w:uiPriority w:val="0"/>
    <w:rPr>
      <w:lang w:val="pl-PL" w:eastAsia="pl-P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UCK</Company>
  <Pages>1</Pages>
  <Words>364</Words>
  <Characters>2080</Characters>
  <Lines>17</Lines>
  <Paragraphs>4</Paragraphs>
  <TotalTime>7</TotalTime>
  <ScaleCrop>false</ScaleCrop>
  <LinksUpToDate>false</LinksUpToDate>
  <CharactersWithSpaces>2440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2013-08-14T15:18:00Z</dcterms:created>
  <dc:creator>52673884</dc:creator>
  <cp:lastModifiedBy>52673884</cp:lastModifiedBy>
  <cp:lastPrinted>2015-10-07T14:20:00Z</cp:lastPrinted>
  <dcterms:modified xsi:type="dcterms:W3CDTF">2026-06-22T09:00:04Z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  <property fmtid="{D5CDD505-2E9C-101B-9397-08002B2CF9AE}" pid="3" name="ICV">
    <vt:lpwstr>8E9C1A2621BF417CB220EF8B77E26EE4</vt:lpwstr>
  </property>
</Properties>
</file>